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贵州合力采购超市有限公司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根据《合同法》、《电子签名法》关于民事合同使用数据电文、电子签名的规定，采用电子签名签订的电子结算单、电子合同有与纸质版结算单、合同等的法律效力，本着提高对账结算、合同签署效率的目的，</w:t>
      </w:r>
      <w:r>
        <w:rPr>
          <w:rFonts w:hint="default" w:ascii="楷体" w:hAnsi="楷体" w:eastAsia="楷体" w:cs="楷体"/>
          <w:b w:val="0"/>
          <w:bCs w:val="0"/>
          <w:sz w:val="21"/>
          <w:szCs w:val="21"/>
          <w:u w:val="none"/>
          <w:lang w:val="en-US" w:eastAsia="zh-CN"/>
        </w:rPr>
        <w:t>甲方与乙方双方</w:t>
      </w:r>
      <w:bookmarkStart w:id="0" w:name="_GoBack"/>
      <w:bookmarkEnd w:id="0"/>
      <w:r>
        <w:rPr>
          <w:rFonts w:hint="default" w:ascii="楷体" w:hAnsi="楷体" w:eastAsia="楷体" w:cs="楷体"/>
          <w:b w:val="0"/>
          <w:bCs w:val="0"/>
          <w:sz w:val="21"/>
          <w:szCs w:val="21"/>
          <w:u w:val="none"/>
          <w:lang w:val="en-US" w:eastAsia="zh-CN"/>
        </w:rPr>
        <w:t>就</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方在</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方知悉并授权</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方将</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方的数字证书，该数字证书将会被作为完成</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方在</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方同意自签订本约定书之日起，在参与</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对账结算、合同</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对账结算单、合同文本</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 xml:space="preserve">4. </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方已详细阅读本章，认识到由于使用电子签名方式签署</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对账结算、合同</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方密码泄露或</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方发生损失，</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方已经完全知晓并自愿承担上述风险，且承诺不因此而追究</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方已仔细阅读并理解本约定书的全部内容，本约定书一经签署，即对</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000000" w:themeColor="text1"/>
          <w:sz w:val="21"/>
          <w:szCs w:val="21"/>
          <w:u w:val="none"/>
          <w:lang w:val="en-US" w:eastAsia="zh-CN"/>
          <w14:textFill>
            <w14:solidFill>
              <w14:schemeClr w14:val="tx1"/>
            </w14:solidFill>
          </w14:textFill>
        </w:rPr>
        <w:t>乙</w:t>
      </w:r>
      <w:r>
        <w:rPr>
          <w:rFonts w:hint="default" w:ascii="楷体" w:hAnsi="楷体" w:eastAsia="楷体" w:cs="楷体"/>
          <w:b w:val="0"/>
          <w:bCs w:val="0"/>
          <w:sz w:val="21"/>
          <w:szCs w:val="21"/>
          <w:u w:val="none"/>
          <w:lang w:val="en-US" w:eastAsia="zh-CN"/>
        </w:rPr>
        <w:t>方委托代理人／法人签名：</w:t>
      </w:r>
      <w:r>
        <w:rPr>
          <w:rFonts w:hint="eastAsia" w:ascii="楷体" w:hAnsi="楷体" w:eastAsia="楷体" w:cs="楷体"/>
          <w:b w:val="0"/>
          <w:bCs w:val="0"/>
          <w:sz w:val="21"/>
          <w:szCs w:val="21"/>
          <w:u w:val="singl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000000" w:themeColor="text1"/>
          <w:sz w:val="21"/>
          <w:szCs w:val="21"/>
          <w:u w:val="none"/>
          <w:lang w:val="en-US" w:eastAsia="zh-CN"/>
          <w14:textFill>
            <w14:solidFill>
              <w14:schemeClr w14:val="tx1"/>
            </w14:solidFill>
          </w14:textFill>
        </w:rPr>
        <w:t>乙</w:t>
      </w:r>
      <w:r>
        <w:rPr>
          <w:rFonts w:hint="default" w:ascii="楷体" w:hAnsi="楷体" w:eastAsia="楷体" w:cs="楷体"/>
          <w:b w:val="0"/>
          <w:bCs w:val="0"/>
          <w:sz w:val="21"/>
          <w:szCs w:val="21"/>
          <w:u w:val="none"/>
          <w:lang w:val="en-US" w:eastAsia="zh-CN"/>
        </w:rPr>
        <w:t>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222000CE"/>
    <w:rsid w:val="3BDF000E"/>
    <w:rsid w:val="48D10E0F"/>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Administrator</cp:lastModifiedBy>
  <dcterms:modified xsi:type="dcterms:W3CDTF">2022-11-19T08:49:11Z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