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贵州合力采购超市有限公司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贵州汇鑫华怡酒业有限公司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根据《合同法》、《电子签名法》关于民事合同使用数据电文、电子签名的规定，采用电子签名签订的电子结算单、电子合同有与纸质版结算单、合同等的法律效力，本着提高对账结算、合同签署效率的目的，</w:t>
      </w:r>
      <w:r>
        <w:rPr>
          <w:rFonts w:hint="default" w:ascii="楷体" w:hAnsi="楷体" w:eastAsia="楷体" w:cs="楷体"/>
          <w:b w:val="0"/>
          <w:bCs w:val="0"/>
          <w:sz w:val="21"/>
          <w:szCs w:val="21"/>
          <w:u w:val="none"/>
          <w:lang w:val="en-US" w:eastAsia="zh-CN"/>
        </w:rPr>
        <w:t>甲方与乙方双方就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方知悉并授权</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方将</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方的数字证书，该数字证书将会被作为完成</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方同意自签订本约定书之日起，在参与</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对账结算单、合同文本</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 xml:space="preserve">4. </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方已详细阅读本章，认识到由于使用电子签名方式签署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方密码泄露或</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方发生损失，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方已经完全知晓并自愿承担上述风险，且承诺不因此而追究</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方已仔细阅读并理解本约定书的全部内容，本约定书一经签署，即对</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方委托代理人／法人签名：</w:t>
      </w:r>
      <w:r>
        <w:rPr>
          <w:rFonts w:hint="eastAsia" w:ascii="楷体" w:hAnsi="楷体" w:eastAsia="楷体" w:cs="楷体"/>
          <w:b w:val="0"/>
          <w:bCs w:val="0"/>
          <w:sz w:val="21"/>
          <w:szCs w:val="21"/>
          <w:u w:val="single"/>
          <w:lang w:val="en-US" w:eastAsia="zh-CN"/>
        </w:rPr>
        <w:t xml:space="preserve"> 周金平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2023.4.12</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3NmQ4OTUzZjRjMTEzYmVkYmExZWQwZDcxNmU5ZTgifQ=="/>
  </w:docVars>
  <w:rsids>
    <w:rsidRoot w:val="00000000"/>
    <w:rsid w:val="07BE3DA9"/>
    <w:rsid w:val="0F2174C4"/>
    <w:rsid w:val="222000CE"/>
    <w:rsid w:val="3BDF000E"/>
    <w:rsid w:val="48D10E0F"/>
    <w:rsid w:val="4CC75A04"/>
    <w:rsid w:val="69203319"/>
    <w:rsid w:val="77D643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1142</Words>
  <Characters>1157</Characters>
  <Lines>0</Lines>
  <Paragraphs>0</Paragraphs>
  <TotalTime>7</TotalTime>
  <ScaleCrop>false</ScaleCrop>
  <LinksUpToDate>false</LinksUpToDate>
  <CharactersWithSpaces>1280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吉祥如意</cp:lastModifiedBy>
  <dcterms:modified xsi:type="dcterms:W3CDTF">2023-04-12T08:23:06Z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71F811123DD3406389A6A18BD6FD0575_13</vt:lpwstr>
  </property>
</Properties>
</file>